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2" w:rsidRPr="00B74C52" w:rsidRDefault="00B74C52" w:rsidP="00E5052D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7782"/>
        <w:gridCol w:w="37"/>
      </w:tblGrid>
      <w:tr w:rsidR="00B74C52" w:rsidRPr="00A12CE0" w:rsidTr="004B55D4">
        <w:trPr>
          <w:gridAfter w:val="1"/>
          <w:wAfter w:w="51" w:type="dxa"/>
        </w:trPr>
        <w:tc>
          <w:tcPr>
            <w:tcW w:w="10395" w:type="dxa"/>
            <w:gridSpan w:val="2"/>
            <w:tcBorders>
              <w:bottom w:val="single" w:sz="4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4C52" w:rsidRPr="00A12CE0" w:rsidRDefault="00B74C52" w:rsidP="006F3FD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proofErr w:type="spellStart"/>
            <w:r w:rsidRPr="00A12CE0">
              <w:rPr>
                <w:rFonts w:eastAsia="Times New Roman" w:cs="Times New Roman"/>
                <w:b/>
                <w:bCs/>
                <w:sz w:val="28"/>
                <w:szCs w:val="28"/>
                <w:lang w:val="en-US" w:eastAsia="it-IT"/>
              </w:rPr>
              <w:t>PROwellbeingSTATE</w:t>
            </w:r>
            <w:proofErr w:type="spellEnd"/>
            <w:r w:rsidRPr="00A12CE0" w:rsidDel="00DA493A">
              <w:rPr>
                <w:rFonts w:eastAsia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</w:p>
        </w:tc>
      </w:tr>
      <w:tr w:rsidR="00B74C52" w:rsidRPr="00044A73" w:rsidTr="004B55D4">
        <w:trPr>
          <w:gridAfter w:val="1"/>
          <w:wAfter w:w="51" w:type="dxa"/>
        </w:trPr>
        <w:tc>
          <w:tcPr>
            <w:tcW w:w="33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4C52" w:rsidRPr="00A12CE0" w:rsidRDefault="00B74C52" w:rsidP="006F3FD0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it-IT"/>
              </w:rPr>
            </w:pPr>
            <w:r w:rsidRPr="00A12CE0">
              <w:rPr>
                <w:rFonts w:eastAsia="Times New Roman" w:cs="Times New Roman"/>
                <w:b/>
                <w:bCs/>
                <w:lang w:val="en-US" w:eastAsia="it-IT"/>
              </w:rPr>
              <w:t>TITOLO PROGETTO</w:t>
            </w:r>
          </w:p>
        </w:tc>
        <w:tc>
          <w:tcPr>
            <w:tcW w:w="6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4C52" w:rsidRPr="00044A73" w:rsidRDefault="00B74C52" w:rsidP="004B55D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proofErr w:type="spellStart"/>
            <w:r w:rsidRPr="00044A73">
              <w:rPr>
                <w:rFonts w:eastAsia="Times New Roman" w:cs="Times New Roman"/>
                <w:lang w:eastAsia="it-IT"/>
              </w:rPr>
              <w:t>PROwellbeingSTATE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="004B55D4">
              <w:t>–</w:t>
            </w:r>
            <w:r>
              <w:t xml:space="preserve"> </w:t>
            </w:r>
            <w:r w:rsidR="004B55D4">
              <w:rPr>
                <w:b/>
                <w:bCs/>
                <w:noProof/>
              </w:rPr>
              <w:t>Misura di finanziamento:</w:t>
            </w:r>
            <w:r w:rsidRPr="002A2592">
              <w:rPr>
                <w:b/>
                <w:bCs/>
                <w:noProof/>
              </w:rPr>
              <w:t xml:space="preserve"> INNONETWORK</w:t>
            </w:r>
          </w:p>
        </w:tc>
      </w:tr>
      <w:tr w:rsidR="00B74C52" w:rsidRPr="00044A73" w:rsidTr="004B55D4">
        <w:trPr>
          <w:gridAfter w:val="1"/>
          <w:wAfter w:w="51" w:type="dxa"/>
        </w:trPr>
        <w:tc>
          <w:tcPr>
            <w:tcW w:w="33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4C52" w:rsidRPr="00CA2595" w:rsidRDefault="00B74C52" w:rsidP="006F3FD0">
            <w:pPr>
              <w:spacing w:after="0" w:line="240" w:lineRule="auto"/>
              <w:rPr>
                <w:rFonts w:eastAsia="Times New Roman" w:cs="Times New Roman"/>
                <w:lang w:val="en-US" w:eastAsia="it-IT"/>
              </w:rPr>
            </w:pPr>
            <w:r w:rsidRPr="00CA2595">
              <w:rPr>
                <w:rFonts w:eastAsia="Times New Roman" w:cs="Times New Roman"/>
                <w:lang w:val="en-US" w:eastAsia="it-IT"/>
              </w:rPr>
              <w:t>Partner</w:t>
            </w:r>
          </w:p>
        </w:tc>
        <w:tc>
          <w:tcPr>
            <w:tcW w:w="6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4C52" w:rsidRPr="00044A73" w:rsidRDefault="00B74C52" w:rsidP="00946D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proofErr w:type="spellStart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BeForPharma</w:t>
            </w:r>
            <w:proofErr w:type="spellEnd"/>
            <w:r w:rsidRPr="004508C8">
              <w:rPr>
                <w:rFonts w:eastAsia="Times New Roman" w:cs="Times New Roman"/>
                <w:b/>
                <w:bCs/>
                <w:lang w:eastAsia="it-IT"/>
              </w:rPr>
              <w:t xml:space="preserve"> S.r.l. (Capofila), Up Vision S.r.l.___7, </w:t>
            </w:r>
            <w:proofErr w:type="spellStart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Virtech</w:t>
            </w:r>
            <w:proofErr w:type="spellEnd"/>
            <w:r w:rsidRPr="004508C8"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Srl</w:t>
            </w:r>
            <w:proofErr w:type="spellEnd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,</w:t>
            </w:r>
            <w:r w:rsidR="004B55D4"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ADDLab</w:t>
            </w:r>
            <w:proofErr w:type="spellEnd"/>
            <w:r w:rsidRPr="004508C8">
              <w:rPr>
                <w:rFonts w:eastAsia="Times New Roman" w:cs="Times New Roman"/>
                <w:b/>
                <w:bCs/>
                <w:lang w:eastAsia="it-IT"/>
              </w:rPr>
              <w:t xml:space="preserve"> Società cooperativa, resulta </w:t>
            </w:r>
            <w:proofErr w:type="spellStart"/>
            <w:proofErr w:type="gramStart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srl</w:t>
            </w:r>
            <w:proofErr w:type="spellEnd"/>
            <w:r w:rsidRPr="004508C8">
              <w:rPr>
                <w:rFonts w:eastAsia="Times New Roman" w:cs="Times New Roman"/>
                <w:b/>
                <w:bCs/>
                <w:lang w:eastAsia="it-IT"/>
              </w:rPr>
              <w:t>,</w:t>
            </w:r>
            <w:r w:rsidRPr="00044A73">
              <w:t xml:space="preserve">  SMART</w:t>
            </w:r>
            <w:proofErr w:type="gramEnd"/>
            <w:r w:rsidRPr="00044A73">
              <w:t xml:space="preserve"> SYS S.r.l., SOC COOP LA CASA A.R.L., Consiglio Nazionale Delle Ricerche, Università degli Studi di Bari “Aldo Moro”</w:t>
            </w:r>
          </w:p>
        </w:tc>
      </w:tr>
      <w:tr w:rsidR="00B74C52" w:rsidRPr="00946DD6" w:rsidTr="004B55D4">
        <w:tc>
          <w:tcPr>
            <w:tcW w:w="33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4C52" w:rsidRPr="00CA2595" w:rsidRDefault="00B74C52" w:rsidP="006F3FD0">
            <w:pPr>
              <w:spacing w:after="0" w:line="240" w:lineRule="auto"/>
              <w:rPr>
                <w:rFonts w:eastAsia="Times New Roman" w:cs="Times New Roman"/>
                <w:lang w:val="en-US" w:eastAsia="it-IT"/>
              </w:rPr>
            </w:pPr>
            <w:r w:rsidRPr="00CA2595">
              <w:rPr>
                <w:rFonts w:eastAsia="Times New Roman" w:cs="Times New Roman"/>
                <w:lang w:val="en-US" w:eastAsia="it-IT"/>
              </w:rPr>
              <w:t xml:space="preserve">Link </w:t>
            </w:r>
          </w:p>
        </w:tc>
        <w:tc>
          <w:tcPr>
            <w:tcW w:w="7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4C52" w:rsidRPr="004508C8" w:rsidRDefault="004B55D4" w:rsidP="006F3FD0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it-IT"/>
              </w:rPr>
            </w:pPr>
            <w:hyperlink r:id="rId5" w:history="1">
              <w:r w:rsidR="00B74C52" w:rsidRPr="00A12CE0">
                <w:rPr>
                  <w:rStyle w:val="Collegamentoipertestuale"/>
                  <w:lang w:val="en-US"/>
                </w:rPr>
                <w:t>https://www.beforpharma.com</w:t>
              </w:r>
              <w:r w:rsidR="00B74C52" w:rsidRPr="00A12CE0">
                <w:rPr>
                  <w:rStyle w:val="Collegamentoipertestuale"/>
                  <w:lang w:val="en-US"/>
                </w:rPr>
                <w:t>/</w:t>
              </w:r>
              <w:r w:rsidR="00B74C52" w:rsidRPr="00A12CE0">
                <w:rPr>
                  <w:rStyle w:val="Collegamentoipertestuale"/>
                  <w:lang w:val="en-US"/>
                </w:rPr>
                <w:t>bfp/it/prowellbeingstate</w:t>
              </w:r>
            </w:hyperlink>
          </w:p>
        </w:tc>
      </w:tr>
      <w:tr w:rsidR="00B74C52" w:rsidRPr="00044A73" w:rsidTr="006F3FD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3"/>
            <w:tcBorders>
              <w:top w:val="single" w:sz="4" w:space="0" w:color="D9D9D9" w:themeColor="background1" w:themeShade="D9"/>
            </w:tcBorders>
            <w:vAlign w:val="center"/>
            <w:hideMark/>
          </w:tcPr>
          <w:p w:rsidR="00B74C52" w:rsidRDefault="00B74C52" w:rsidP="006F3FD0">
            <w:pPr>
              <w:spacing w:after="0" w:line="240" w:lineRule="auto"/>
              <w:rPr>
                <w:rFonts w:eastAsia="Times New Roman" w:cs="Times New Roman"/>
                <w:color w:val="666666"/>
                <w:lang w:eastAsia="it-IT"/>
              </w:rPr>
            </w:pPr>
            <w:r w:rsidRPr="00044A73">
              <w:rPr>
                <w:rFonts w:eastAsia="Times New Roman" w:cs="Times New Roman"/>
                <w:color w:val="666666"/>
                <w:lang w:eastAsia="it-IT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8"/>
            </w:tblGrid>
            <w:tr w:rsidR="00B74C52" w:rsidRPr="00044A73" w:rsidTr="006F3FD0">
              <w:tc>
                <w:tcPr>
                  <w:tcW w:w="0" w:type="auto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74C52" w:rsidRPr="00044A73" w:rsidRDefault="00B74C52" w:rsidP="006F3F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it-IT"/>
                    </w:rPr>
                  </w:pPr>
                  <w:proofErr w:type="gramStart"/>
                  <w:r>
                    <w:rPr>
                      <w:rFonts w:eastAsia="Times New Roman" w:cs="Times New Roman"/>
                      <w:b/>
                      <w:bCs/>
                      <w:lang w:eastAsia="it-IT"/>
                    </w:rPr>
                    <w:t>Brevetto:  KIT</w:t>
                  </w:r>
                  <w:proofErr w:type="gramEnd"/>
                  <w:r>
                    <w:rPr>
                      <w:rFonts w:eastAsia="Times New Roman" w:cs="Times New Roman"/>
                      <w:b/>
                      <w:bCs/>
                      <w:lang w:eastAsia="it-IT"/>
                    </w:rPr>
                    <w:t xml:space="preserve"> FREDDO DEL PSMA-11 ; Diagnosi cancro della prostata</w:t>
                  </w:r>
                </w:p>
              </w:tc>
            </w:tr>
          </w:tbl>
          <w:p w:rsidR="00B74C52" w:rsidRPr="00044A73" w:rsidRDefault="00B74C52" w:rsidP="006F3FD0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9339"/>
            </w:tblGrid>
            <w:tr w:rsidR="00B74C52" w:rsidRPr="00044A73" w:rsidTr="006F3FD0"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74C52" w:rsidRPr="00044A73" w:rsidRDefault="00B74C52" w:rsidP="006F3F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it-IT"/>
                    </w:rPr>
                  </w:pPr>
                  <w:r w:rsidRPr="00044A73">
                    <w:rPr>
                      <w:rFonts w:eastAsia="Times New Roman" w:cs="Times New Roman"/>
                      <w:b/>
                      <w:bCs/>
                      <w:lang w:eastAsia="it-IT"/>
                    </w:rPr>
                    <w:t xml:space="preserve">Obiettivi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74C52" w:rsidRPr="00044A73" w:rsidRDefault="00B74C52" w:rsidP="006F3FD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lang w:eastAsia="it-IT"/>
                    </w:rPr>
                  </w:pPr>
                  <w:r w:rsidRPr="00044A73">
                    <w:rPr>
                      <w:rFonts w:eastAsia="Times New Roman" w:cs="Times New Roman"/>
                      <w:lang w:eastAsia="it-IT"/>
                    </w:rPr>
                    <w:t>Gli obiettivi finali che si intendeva raggiungere erano: a) lo sviluppo di strumenti innovativi per la diagnosi e terapia del tumore prostatico, dotati di maggiore sensibilità e specificità, in grado di fornire un quadro diagnostico più chiaro e accurato e aprire a nuove modalità terapeutiche soprattutto per i casi resistenti o non più responsivi alle terapie attualmente utilizzate; b) lo sviluppo di strumenti innovativi per l’(auto)monitoraggio della patologia e l’(auto)gestione del paziente, al fine di assicurare una maggiore efficacia degli strumenti di prevenzione secondaria e migliorare la qualità di vita del paziente.</w:t>
                  </w:r>
                </w:p>
              </w:tc>
            </w:tr>
          </w:tbl>
          <w:p w:rsidR="00B74C52" w:rsidRPr="00044A73" w:rsidRDefault="00B74C52" w:rsidP="006F3FD0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9383"/>
            </w:tblGrid>
            <w:tr w:rsidR="00B74C52" w:rsidRPr="00044A73" w:rsidTr="006F3FD0">
              <w:tc>
                <w:tcPr>
                  <w:tcW w:w="0" w:type="auto"/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74C52" w:rsidRPr="00044A73" w:rsidRDefault="00B74C52" w:rsidP="006F3F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eastAsia="it-IT"/>
                    </w:rPr>
                    <w:t>Risultati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74C52" w:rsidRPr="00044A73" w:rsidRDefault="00B74C52" w:rsidP="006F3FD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lang w:eastAsia="it-IT"/>
                    </w:rPr>
                  </w:pPr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Il progetto </w:t>
                  </w:r>
                  <w:r>
                    <w:rPr>
                      <w:rFonts w:eastAsia="Times New Roman" w:cs="Times New Roman"/>
                      <w:lang w:eastAsia="it-IT"/>
                    </w:rPr>
                    <w:t>ha</w:t>
                  </w:r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otten</w:t>
                  </w:r>
                  <w:r>
                    <w:rPr>
                      <w:rFonts w:eastAsia="Times New Roman" w:cs="Times New Roman"/>
                      <w:lang w:eastAsia="it-IT"/>
                    </w:rPr>
                    <w:t>uto</w:t>
                  </w:r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: i) Con riferimento all’obiettivo di sviluppo di strumenti innovativi di diagnosi e terapia: Sviluppo di un kit freddo a base PSMA per rendere accessibile tale 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radiofarmaco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a tutti i reparti di medicina nucleare dotati di PET/CT. Sviluppo di un kit controllo qualità per garantire la conformità d’uso alle normative agli utilizzatori del 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radiofarmaco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. Sviluppo di un sigillo elettronico per consentire l’ottimizzazione dei tempi morti tra la produzione e il rilascio all’uso del radionuclide attraverso la parallela esecuzione delle fasi di distribuzione e controllo qualità/rilascio. ii) Con riferimento all’obiettivo di sviluppo di strumenti innovativi di (auto)monitoraggio e (auto)gestione: Sviluppo di un dispositivo basato su sensori 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chemoresistivi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di gas, in grado di fornire un test diagnostico innovativo per il cancro prostatico Sviluppo di un dispositivo (LFD) basato sul principio 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immunocromatografico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del 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Lateral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Flow 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Assay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(LFA) in grado di consentire un accurato automonitoraggio di marcatori specifici in campioni di urine Sviluppo di strumenti di gestione di piani personalizzati nutrizionali e di attività fisica. iii) Con riferimento a entrambi gli obiettivi sopra citati: Sviluppo di una piattaforma informatica di interoperabilità che integrerà gli strumenti sopra</w:t>
                  </w:r>
                  <w:r>
                    <w:rPr>
                      <w:rFonts w:eastAsia="Times New Roman" w:cs="Times New Roman"/>
                      <w:lang w:eastAsia="it-IT"/>
                    </w:rPr>
                    <w:t xml:space="preserve"> </w:t>
                  </w:r>
                  <w:r w:rsidRPr="00044A73">
                    <w:rPr>
                      <w:rFonts w:eastAsia="Times New Roman" w:cs="Times New Roman"/>
                      <w:lang w:eastAsia="it-IT"/>
                    </w:rPr>
                    <w:t>descritti consentendo la redazione di una cartella clinica completa del paziente e l’interazione di pazienti, care-</w:t>
                  </w:r>
                  <w:proofErr w:type="spellStart"/>
                  <w:r w:rsidRPr="00044A73">
                    <w:rPr>
                      <w:rFonts w:eastAsia="Times New Roman" w:cs="Times New Roman"/>
                      <w:lang w:eastAsia="it-IT"/>
                    </w:rPr>
                    <w:t>giver</w:t>
                  </w:r>
                  <w:proofErr w:type="spellEnd"/>
                  <w:r w:rsidRPr="00044A73">
                    <w:rPr>
                      <w:rFonts w:eastAsia="Times New Roman" w:cs="Times New Roman"/>
                      <w:lang w:eastAsia="it-IT"/>
                    </w:rPr>
                    <w:t xml:space="preserve"> e operatori. Il progetto </w:t>
                  </w:r>
                  <w:bookmarkStart w:id="0" w:name="_GoBack"/>
                  <w:bookmarkEnd w:id="0"/>
                  <w:r w:rsidRPr="00044A73">
                    <w:rPr>
                      <w:rFonts w:eastAsia="Times New Roman" w:cs="Times New Roman"/>
                      <w:lang w:eastAsia="it-IT"/>
                    </w:rPr>
                    <w:t>quindi ha avuto un duplice risultato:</w:t>
                  </w:r>
                </w:p>
                <w:p w:rsidR="00B74C52" w:rsidRPr="00CA2595" w:rsidRDefault="00B74C52" w:rsidP="006F3FD0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547"/>
                    <w:jc w:val="both"/>
                    <w:rPr>
                      <w:rFonts w:eastAsia="Times New Roman" w:cs="Times New Roman"/>
                      <w:lang w:eastAsia="it-IT"/>
                    </w:rPr>
                  </w:pPr>
                  <w:proofErr w:type="gramStart"/>
                  <w:r w:rsidRPr="00CA2595">
                    <w:rPr>
                      <w:rFonts w:eastAsia="Times New Roman" w:cs="Times New Roman"/>
                      <w:lang w:eastAsia="it-IT"/>
                    </w:rPr>
                    <w:t>lo</w:t>
                  </w:r>
                  <w:proofErr w:type="gramEnd"/>
                  <w:r w:rsidRPr="00CA2595">
                    <w:rPr>
                      <w:rFonts w:eastAsia="Times New Roman" w:cs="Times New Roman"/>
                      <w:lang w:eastAsia="it-IT"/>
                    </w:rPr>
                    <w:t xml:space="preserve"> sviluppo di strumenti innovativi per la diagnosi e terapia del tumore prostatico, dotati di maggiore sensibilità e specificità,  in grado di fornire un quadro diagnostico più chiaro e accurato e aprire a nuove modalità terapeutiche, soprattutto per i casi resistenti o non più responsivi alle terapie attualmente utilizzate;</w:t>
                  </w:r>
                </w:p>
                <w:p w:rsidR="00B74C52" w:rsidRPr="00CA2595" w:rsidRDefault="00B74C52" w:rsidP="006F3FD0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547"/>
                    <w:jc w:val="both"/>
                    <w:rPr>
                      <w:rFonts w:eastAsia="Times New Roman" w:cs="Times New Roman"/>
                      <w:lang w:eastAsia="it-IT"/>
                    </w:rPr>
                  </w:pPr>
                  <w:proofErr w:type="gramStart"/>
                  <w:r w:rsidRPr="00CA2595">
                    <w:rPr>
                      <w:rFonts w:eastAsia="Times New Roman" w:cs="Times New Roman"/>
                      <w:lang w:eastAsia="it-IT"/>
                    </w:rPr>
                    <w:t>lo</w:t>
                  </w:r>
                  <w:proofErr w:type="gramEnd"/>
                  <w:r w:rsidRPr="00CA2595">
                    <w:rPr>
                      <w:rFonts w:eastAsia="Times New Roman" w:cs="Times New Roman"/>
                      <w:lang w:eastAsia="it-IT"/>
                    </w:rPr>
                    <w:t xml:space="preserve"> sviluppo di strumenti innovativi per l’automonitoraggio della patologia e l’autogestione del paziente, al fine di assicurare una maggiore efficacia degli strumenti di prevenzione </w:t>
                  </w:r>
                  <w:r w:rsidRPr="00C737B0">
                    <w:t>Partner</w:t>
                  </w:r>
                  <w:r w:rsidRPr="00CA2595">
                    <w:rPr>
                      <w:rFonts w:eastAsia="Times New Roman" w:cs="Times New Roman"/>
                      <w:lang w:eastAsia="it-IT"/>
                    </w:rPr>
                    <w:t xml:space="preserve"> secondaria e migliorare la qualità di vita del paziente.</w:t>
                  </w:r>
                </w:p>
              </w:tc>
            </w:tr>
          </w:tbl>
          <w:p w:rsidR="00B74C52" w:rsidRDefault="00B74C52" w:rsidP="006F3FD0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p w:rsidR="00B74C52" w:rsidRPr="00044A73" w:rsidRDefault="00B74C52" w:rsidP="006F3FD0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</w:tr>
    </w:tbl>
    <w:p w:rsidR="00B74C52" w:rsidRPr="00B74C52" w:rsidRDefault="00B74C52" w:rsidP="00946DD6">
      <w:pPr>
        <w:spacing w:after="0" w:line="240" w:lineRule="auto"/>
        <w:rPr>
          <w:rFonts w:ascii="Arial" w:hAnsi="Arial" w:cs="Arial"/>
          <w:b/>
          <w:color w:val="222222"/>
          <w:u w:val="single"/>
        </w:rPr>
      </w:pPr>
    </w:p>
    <w:sectPr w:rsidR="00B74C52" w:rsidRPr="00B74C52" w:rsidSect="00946DD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40D4"/>
    <w:multiLevelType w:val="hybridMultilevel"/>
    <w:tmpl w:val="CA26B51C"/>
    <w:lvl w:ilvl="0" w:tplc="435EEFB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62D3F"/>
    <w:multiLevelType w:val="hybridMultilevel"/>
    <w:tmpl w:val="F38E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E5D"/>
    <w:multiLevelType w:val="hybridMultilevel"/>
    <w:tmpl w:val="307C792E"/>
    <w:lvl w:ilvl="0" w:tplc="2E7470C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D71A9F8C">
      <w:start w:val="19"/>
      <w:numFmt w:val="bullet"/>
      <w:lvlText w:val="•"/>
      <w:lvlJc w:val="left"/>
      <w:pPr>
        <w:ind w:left="2128" w:hanging="70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2D"/>
    <w:rsid w:val="00015E50"/>
    <w:rsid w:val="004B55D4"/>
    <w:rsid w:val="00946DD6"/>
    <w:rsid w:val="00B74C52"/>
    <w:rsid w:val="00E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6F73-F135-4C43-B002-F23D5EF1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5052D"/>
    <w:rPr>
      <w:color w:val="0000FF"/>
      <w:u w:val="single"/>
    </w:rPr>
  </w:style>
  <w:style w:type="character" w:customStyle="1" w:styleId="ams">
    <w:name w:val="ams"/>
    <w:basedOn w:val="Carpredefinitoparagrafo"/>
    <w:rsid w:val="00E505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52D"/>
    <w:rPr>
      <w:rFonts w:ascii="Tahoma" w:hAnsi="Tahoma" w:cs="Tahoma"/>
      <w:sz w:val="16"/>
      <w:szCs w:val="16"/>
    </w:rPr>
  </w:style>
  <w:style w:type="paragraph" w:styleId="Paragrafoelenco">
    <w:name w:val="List Paragraph"/>
    <w:aliases w:val="Paragrafo elenco 2,List Paragraph"/>
    <w:basedOn w:val="Normale"/>
    <w:link w:val="ParagrafoelencoCarattere"/>
    <w:uiPriority w:val="99"/>
    <w:qFormat/>
    <w:rsid w:val="00B74C52"/>
    <w:pPr>
      <w:spacing w:after="160" w:line="259" w:lineRule="auto"/>
      <w:ind w:left="720"/>
      <w:contextualSpacing/>
    </w:pPr>
  </w:style>
  <w:style w:type="character" w:customStyle="1" w:styleId="ParagrafoelencoCarattere">
    <w:name w:val="Paragrafo elenco Carattere"/>
    <w:aliases w:val="Paragrafo elenco 2 Carattere,List Paragraph Carattere"/>
    <w:basedOn w:val="Carpredefinitoparagrafo"/>
    <w:link w:val="Paragrafoelenco"/>
    <w:uiPriority w:val="99"/>
    <w:qFormat/>
    <w:rsid w:val="00B74C52"/>
  </w:style>
  <w:style w:type="character" w:styleId="Collegamentovisitato">
    <w:name w:val="FollowedHyperlink"/>
    <w:basedOn w:val="Carpredefinitoparagrafo"/>
    <w:uiPriority w:val="99"/>
    <w:semiHidden/>
    <w:unhideWhenUsed/>
    <w:rsid w:val="004B5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0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96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34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77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0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8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27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11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65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82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5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21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1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0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4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93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forpharma.com/bfp/it/prowellbeingst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silvia.visciano@outlook.it</dc:creator>
  <cp:lastModifiedBy>simona loconsole</cp:lastModifiedBy>
  <cp:revision>3</cp:revision>
  <dcterms:created xsi:type="dcterms:W3CDTF">2023-04-29T05:07:00Z</dcterms:created>
  <dcterms:modified xsi:type="dcterms:W3CDTF">2023-05-02T07:43:00Z</dcterms:modified>
</cp:coreProperties>
</file>