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AC" w:rsidRDefault="004874AC" w:rsidP="004874AC">
      <w:pPr>
        <w:pStyle w:val="NormaleWeb"/>
      </w:pPr>
      <w:r>
        <w:rPr>
          <w:noProof/>
        </w:rPr>
        <w:drawing>
          <wp:inline distT="0" distB="0" distL="0" distR="0">
            <wp:extent cx="2500414" cy="1600342"/>
            <wp:effectExtent l="19050" t="0" r="0" b="0"/>
            <wp:docPr id="1" name="Immagine 1" descr="C:\Users\Biondo\Pictures\Logo D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ndo\Pictures\Logo Dta.jpg"/>
                    <pic:cNvPicPr>
                      <a:picLocks noChangeAspect="1" noChangeArrowheads="1"/>
                    </pic:cNvPicPr>
                  </pic:nvPicPr>
                  <pic:blipFill>
                    <a:blip r:embed="rId4"/>
                    <a:srcRect/>
                    <a:stretch>
                      <a:fillRect/>
                    </a:stretch>
                  </pic:blipFill>
                  <pic:spPr bwMode="auto">
                    <a:xfrm>
                      <a:off x="0" y="0"/>
                      <a:ext cx="2504114" cy="1602710"/>
                    </a:xfrm>
                    <a:prstGeom prst="rect">
                      <a:avLst/>
                    </a:prstGeom>
                    <a:noFill/>
                    <a:ln w="9525">
                      <a:noFill/>
                      <a:miter lim="800000"/>
                      <a:headEnd/>
                      <a:tailEnd/>
                    </a:ln>
                  </pic:spPr>
                </pic:pic>
              </a:graphicData>
            </a:graphic>
          </wp:inline>
        </w:drawing>
      </w:r>
    </w:p>
    <w:p w:rsidR="00D4005A" w:rsidRDefault="00D4005A" w:rsidP="00D4005A">
      <w:pPr>
        <w:rPr>
          <w:sz w:val="32"/>
          <w:szCs w:val="32"/>
        </w:rPr>
      </w:pPr>
    </w:p>
    <w:p w:rsidR="00D4005A" w:rsidRDefault="00D4005A" w:rsidP="00D4005A">
      <w:pPr>
        <w:rPr>
          <w:sz w:val="32"/>
          <w:szCs w:val="32"/>
        </w:rPr>
      </w:pPr>
      <w:r>
        <w:rPr>
          <w:sz w:val="32"/>
          <w:szCs w:val="32"/>
        </w:rPr>
        <w:t xml:space="preserve">Nell’ambito del </w:t>
      </w:r>
      <w:proofErr w:type="spellStart"/>
      <w:r>
        <w:rPr>
          <w:sz w:val="32"/>
          <w:szCs w:val="32"/>
        </w:rPr>
        <w:t>Mam</w:t>
      </w:r>
      <w:proofErr w:type="spellEnd"/>
      <w:r>
        <w:rPr>
          <w:sz w:val="32"/>
          <w:szCs w:val="32"/>
        </w:rPr>
        <w:t xml:space="preserve"> 2024, il 20 e 21 marzo, si svolgerà la quarta edizione del </w:t>
      </w:r>
      <w:proofErr w:type="spellStart"/>
      <w:r>
        <w:rPr>
          <w:sz w:val="32"/>
          <w:szCs w:val="32"/>
        </w:rPr>
        <w:t>Drones</w:t>
      </w:r>
      <w:proofErr w:type="spellEnd"/>
      <w:r>
        <w:rPr>
          <w:sz w:val="32"/>
          <w:szCs w:val="32"/>
        </w:rPr>
        <w:t xml:space="preserve"> </w:t>
      </w:r>
      <w:proofErr w:type="spellStart"/>
      <w:r>
        <w:rPr>
          <w:sz w:val="32"/>
          <w:szCs w:val="32"/>
        </w:rPr>
        <w:t>Beyond</w:t>
      </w:r>
      <w:proofErr w:type="spellEnd"/>
      <w:r>
        <w:rPr>
          <w:sz w:val="32"/>
          <w:szCs w:val="32"/>
        </w:rPr>
        <w:t>, un evento organizzato dal Distretto tecnologico aerospaziale.</w:t>
      </w:r>
    </w:p>
    <w:p w:rsidR="00D4005A" w:rsidRDefault="00D4005A" w:rsidP="00D4005A">
      <w:pPr>
        <w:rPr>
          <w:sz w:val="32"/>
          <w:szCs w:val="32"/>
        </w:rPr>
      </w:pPr>
      <w:r w:rsidRPr="00857A4C">
        <w:rPr>
          <w:sz w:val="32"/>
          <w:szCs w:val="32"/>
        </w:rPr>
        <w:t xml:space="preserve">Le </w:t>
      </w:r>
      <w:r>
        <w:rPr>
          <w:sz w:val="32"/>
          <w:szCs w:val="32"/>
        </w:rPr>
        <w:t xml:space="preserve">precedenti edizioni di </w:t>
      </w:r>
      <w:proofErr w:type="spellStart"/>
      <w:r>
        <w:rPr>
          <w:sz w:val="32"/>
          <w:szCs w:val="32"/>
        </w:rPr>
        <w:t>Drones</w:t>
      </w:r>
      <w:proofErr w:type="spellEnd"/>
      <w:r>
        <w:rPr>
          <w:sz w:val="32"/>
          <w:szCs w:val="32"/>
        </w:rPr>
        <w:t xml:space="preserve"> </w:t>
      </w:r>
      <w:proofErr w:type="spellStart"/>
      <w:r>
        <w:rPr>
          <w:sz w:val="32"/>
          <w:szCs w:val="32"/>
        </w:rPr>
        <w:t>Beyond</w:t>
      </w:r>
      <w:proofErr w:type="spellEnd"/>
      <w:r>
        <w:rPr>
          <w:sz w:val="32"/>
          <w:szCs w:val="32"/>
        </w:rPr>
        <w:t xml:space="preserve"> hanno presentato dimostrazioni atte a proporre prima lo stato delle tecnologie (2021), poi alcune soluzioni operative (2022) e quindi una valutazione della maturità del settore (incontro mercato – produttori di soluzioni e servizi) (2023)</w:t>
      </w:r>
    </w:p>
    <w:p w:rsidR="00D4005A" w:rsidRDefault="00D4005A" w:rsidP="00D4005A">
      <w:pPr>
        <w:rPr>
          <w:sz w:val="32"/>
          <w:szCs w:val="32"/>
        </w:rPr>
      </w:pPr>
      <w:r>
        <w:rPr>
          <w:sz w:val="32"/>
          <w:szCs w:val="32"/>
        </w:rPr>
        <w:t xml:space="preserve">L’edizione 2024  vuole presentare una proposta di operatività di nuova mobilità aerea (non comprendente ancora il trasporto persone), in particolare per le attività di un Test Center come il GATB (Grottaglie </w:t>
      </w:r>
      <w:proofErr w:type="spellStart"/>
      <w:r>
        <w:rPr>
          <w:sz w:val="32"/>
          <w:szCs w:val="32"/>
        </w:rPr>
        <w:t>airport</w:t>
      </w:r>
      <w:proofErr w:type="spellEnd"/>
      <w:r>
        <w:rPr>
          <w:sz w:val="32"/>
          <w:szCs w:val="32"/>
        </w:rPr>
        <w:t xml:space="preserve"> </w:t>
      </w:r>
      <w:proofErr w:type="spellStart"/>
      <w:r>
        <w:rPr>
          <w:sz w:val="32"/>
          <w:szCs w:val="32"/>
        </w:rPr>
        <w:t>testy</w:t>
      </w:r>
      <w:proofErr w:type="spellEnd"/>
      <w:r>
        <w:rPr>
          <w:sz w:val="32"/>
          <w:szCs w:val="32"/>
        </w:rPr>
        <w:t xml:space="preserve"> </w:t>
      </w:r>
      <w:proofErr w:type="spellStart"/>
      <w:r>
        <w:rPr>
          <w:sz w:val="32"/>
          <w:szCs w:val="32"/>
        </w:rPr>
        <w:t>bed</w:t>
      </w:r>
      <w:proofErr w:type="spellEnd"/>
      <w:r>
        <w:rPr>
          <w:sz w:val="32"/>
          <w:szCs w:val="32"/>
        </w:rPr>
        <w:t>), presentando i principali componenti del sistema (infrastrutture di terra, gestione dello spazio aereo, pianificazione e gestione delle missioni) operativi ed integrati in una giornata di normale attività su un territorio significativo. Le dimostrazioni in calendario sono 15 (11 dal vivo e 4 registrate).</w:t>
      </w:r>
    </w:p>
    <w:p w:rsidR="00D4005A" w:rsidRPr="00F13E13" w:rsidRDefault="00D4005A" w:rsidP="00D4005A">
      <w:pPr>
        <w:rPr>
          <w:sz w:val="32"/>
          <w:szCs w:val="32"/>
        </w:rPr>
      </w:pPr>
      <w:r>
        <w:rPr>
          <w:sz w:val="32"/>
          <w:szCs w:val="32"/>
        </w:rPr>
        <w:t xml:space="preserve">Particolare rilevanza è stata assegnata alla  struttura di un potenziale </w:t>
      </w:r>
      <w:proofErr w:type="spellStart"/>
      <w:r w:rsidRPr="00A94E4F">
        <w:rPr>
          <w:b/>
          <w:bCs/>
          <w:sz w:val="32"/>
          <w:szCs w:val="32"/>
        </w:rPr>
        <w:t>vertiporto</w:t>
      </w:r>
      <w:proofErr w:type="spellEnd"/>
      <w:r>
        <w:rPr>
          <w:sz w:val="32"/>
          <w:szCs w:val="32"/>
        </w:rPr>
        <w:t xml:space="preserve"> (nelle sue varie componenti logistiche e di supporto tecnico-operativo), di un </w:t>
      </w:r>
      <w:r w:rsidRPr="00A94E4F">
        <w:rPr>
          <w:b/>
          <w:bCs/>
          <w:sz w:val="32"/>
          <w:szCs w:val="32"/>
        </w:rPr>
        <w:t>Centro di Coordinamento e Controllo</w:t>
      </w:r>
      <w:r>
        <w:rPr>
          <w:sz w:val="32"/>
          <w:szCs w:val="32"/>
        </w:rPr>
        <w:t xml:space="preserve"> delle attività,  in grado di consentire la gestione di più missioni in contemporanea su un territorio ed all’interno di volumi di spazio definiti e gestiti in modo flessibile.</w:t>
      </w:r>
    </w:p>
    <w:p w:rsidR="0028009F" w:rsidRDefault="0028009F"/>
    <w:sectPr w:rsidR="0028009F" w:rsidSect="002800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D4005A"/>
    <w:rsid w:val="0028009F"/>
    <w:rsid w:val="004874AC"/>
    <w:rsid w:val="00D4005A"/>
    <w:rsid w:val="00D763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05A"/>
    <w:pPr>
      <w:spacing w:after="160" w:line="278" w:lineRule="auto"/>
    </w:pPr>
    <w:rPr>
      <w:kern w:val="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74AC"/>
    <w:pPr>
      <w:spacing w:before="100" w:beforeAutospacing="1" w:after="100" w:afterAutospacing="1" w:line="240" w:lineRule="auto"/>
    </w:pPr>
    <w:rPr>
      <w:rFonts w:ascii="Times New Roman" w:eastAsia="Times New Roman" w:hAnsi="Times New Roman" w:cs="Times New Roman"/>
      <w:kern w:val="0"/>
      <w:lang w:eastAsia="it-IT"/>
    </w:rPr>
  </w:style>
  <w:style w:type="paragraph" w:styleId="Testofumetto">
    <w:name w:val="Balloon Text"/>
    <w:basedOn w:val="Normale"/>
    <w:link w:val="TestofumettoCarattere"/>
    <w:uiPriority w:val="99"/>
    <w:semiHidden/>
    <w:unhideWhenUsed/>
    <w:rsid w:val="004874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4AC"/>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4930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2024-03-18T12:25:00Z</dcterms:created>
  <dcterms:modified xsi:type="dcterms:W3CDTF">2024-03-18T12:25:00Z</dcterms:modified>
</cp:coreProperties>
</file>